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CellSpacing w:w="0" w:type="dxa"/>
        <w:shd w:val="clear" w:color="auto" w:fill="FFFFFF"/>
        <w:tblCellMar>
          <w:left w:w="0" w:type="dxa"/>
          <w:right w:w="0" w:type="dxa"/>
        </w:tblCellMar>
        <w:tblLook w:val="04A0" w:firstRow="1" w:lastRow="0" w:firstColumn="1" w:lastColumn="0" w:noHBand="0" w:noVBand="1"/>
      </w:tblPr>
      <w:tblGrid>
        <w:gridCol w:w="9214"/>
      </w:tblGrid>
      <w:tr w:rsidR="00D03F78" w:rsidRPr="00D03F78" w:rsidTr="00D03F78">
        <w:trPr>
          <w:tblCellSpacing w:w="0" w:type="dxa"/>
        </w:trPr>
        <w:tc>
          <w:tcPr>
            <w:tcW w:w="9214" w:type="dxa"/>
            <w:tcBorders>
              <w:top w:val="nil"/>
              <w:left w:val="nil"/>
              <w:bottom w:val="nil"/>
              <w:right w:val="nil"/>
            </w:tcBorders>
            <w:shd w:val="clear" w:color="auto" w:fill="FFFFFF"/>
            <w:vAlign w:val="center"/>
            <w:hideMark/>
          </w:tcPr>
          <w:p w:rsidR="00D03F78" w:rsidRPr="00D03F78" w:rsidRDefault="00D03F78" w:rsidP="00D03F78">
            <w:pPr>
              <w:spacing w:after="0" w:line="240" w:lineRule="auto"/>
              <w:jc w:val="both"/>
              <w:rPr>
                <w:rFonts w:eastAsia="Times New Roman" w:cs="Times New Roman"/>
                <w:sz w:val="18"/>
                <w:szCs w:val="18"/>
              </w:rPr>
            </w:pPr>
          </w:p>
        </w:tc>
      </w:tr>
      <w:tr w:rsidR="00D03F78" w:rsidRPr="00D03F78" w:rsidTr="00D03F78">
        <w:trPr>
          <w:tblCellSpacing w:w="0" w:type="dxa"/>
        </w:trPr>
        <w:tc>
          <w:tcPr>
            <w:tcW w:w="9214" w:type="dxa"/>
            <w:tcBorders>
              <w:top w:val="nil"/>
              <w:left w:val="nil"/>
              <w:bottom w:val="nil"/>
              <w:right w:val="nil"/>
            </w:tcBorders>
            <w:shd w:val="clear" w:color="auto" w:fill="FFFFFF"/>
            <w:vAlign w:val="center"/>
            <w:hideMark/>
          </w:tcPr>
          <w:p w:rsidR="00D03F78" w:rsidRPr="00D03F78" w:rsidRDefault="00BC301F" w:rsidP="00D03F78">
            <w:pPr>
              <w:spacing w:after="0" w:line="240" w:lineRule="auto"/>
              <w:jc w:val="both"/>
              <w:rPr>
                <w:rFonts w:ascii="Arial" w:eastAsia="Times New Roman" w:hAnsi="Arial" w:cs="Arial"/>
                <w:sz w:val="18"/>
                <w:szCs w:val="18"/>
              </w:rPr>
            </w:pPr>
            <w:r>
              <w:rPr>
                <w:rFonts w:eastAsia="Times New Roman" w:cs="Times New Roman"/>
                <w:b/>
                <w:bCs/>
                <w:sz w:val="30"/>
                <w:szCs w:val="30"/>
              </w:rPr>
              <w:t xml:space="preserve">        </w:t>
            </w:r>
            <w:bookmarkStart w:id="0" w:name="_GoBack"/>
            <w:bookmarkEnd w:id="0"/>
            <w:r w:rsidR="00D03F78" w:rsidRPr="00D03F78">
              <w:rPr>
                <w:rFonts w:eastAsia="Times New Roman" w:cs="Times New Roman"/>
                <w:b/>
                <w:bCs/>
                <w:sz w:val="30"/>
                <w:szCs w:val="30"/>
              </w:rPr>
              <w:t xml:space="preserve">UBND </w:t>
            </w:r>
            <w:r w:rsidR="00152EE3">
              <w:rPr>
                <w:rFonts w:eastAsia="Times New Roman" w:cs="Times New Roman"/>
                <w:b/>
                <w:bCs/>
                <w:sz w:val="30"/>
                <w:szCs w:val="30"/>
              </w:rPr>
              <w:t>huyện Kim Bảng</w:t>
            </w:r>
            <w:r w:rsidR="00D03F78" w:rsidRPr="00D03F78">
              <w:rPr>
                <w:rFonts w:eastAsia="Times New Roman" w:cs="Times New Roman"/>
                <w:b/>
                <w:bCs/>
                <w:sz w:val="30"/>
                <w:szCs w:val="30"/>
              </w:rPr>
              <w:t xml:space="preserve"> chỉ đạo rà soát, xử lý, thu hồi nợ của khách hàng vay vốn NHCSXH đi khỏi nơi cư trú</w:t>
            </w:r>
          </w:p>
        </w:tc>
      </w:tr>
      <w:tr w:rsidR="00D03F78" w:rsidRPr="00D03F78" w:rsidTr="00D03F78">
        <w:trPr>
          <w:tblCellSpacing w:w="0" w:type="dxa"/>
        </w:trPr>
        <w:tc>
          <w:tcPr>
            <w:tcW w:w="9214" w:type="dxa"/>
            <w:tcBorders>
              <w:top w:val="nil"/>
              <w:left w:val="nil"/>
              <w:bottom w:val="nil"/>
              <w:right w:val="nil"/>
            </w:tcBorders>
            <w:shd w:val="clear" w:color="auto" w:fill="FFFFFF"/>
            <w:tcMar>
              <w:top w:w="75" w:type="dxa"/>
              <w:left w:w="0" w:type="dxa"/>
              <w:bottom w:w="0" w:type="dxa"/>
              <w:right w:w="0" w:type="dxa"/>
            </w:tcMar>
            <w:vAlign w:val="center"/>
            <w:hideMark/>
          </w:tcPr>
          <w:p w:rsidR="00D03F78" w:rsidRPr="00D03F78" w:rsidRDefault="00D03F78" w:rsidP="00D03F78">
            <w:pPr>
              <w:spacing w:after="0" w:line="240" w:lineRule="auto"/>
              <w:jc w:val="both"/>
              <w:rPr>
                <w:rFonts w:ascii="Tahoma" w:eastAsia="Times New Roman" w:hAnsi="Tahoma" w:cs="Tahoma"/>
                <w:color w:val="C0C0C0"/>
                <w:sz w:val="17"/>
                <w:szCs w:val="17"/>
              </w:rPr>
            </w:pPr>
          </w:p>
        </w:tc>
      </w:tr>
      <w:tr w:rsidR="00D03F78" w:rsidRPr="00D03F78" w:rsidTr="00D03F78">
        <w:trPr>
          <w:tblCellSpacing w:w="0" w:type="dxa"/>
        </w:trPr>
        <w:tc>
          <w:tcPr>
            <w:tcW w:w="9214" w:type="dxa"/>
            <w:tcBorders>
              <w:top w:val="nil"/>
              <w:left w:val="nil"/>
              <w:bottom w:val="nil"/>
              <w:right w:val="nil"/>
            </w:tcBorders>
            <w:shd w:val="clear" w:color="auto" w:fill="FFFFFF"/>
            <w:vAlign w:val="center"/>
            <w:hideMark/>
          </w:tcPr>
          <w:p w:rsidR="00D03F78" w:rsidRPr="00D03F78" w:rsidRDefault="00BC301F" w:rsidP="002F57C2">
            <w:pPr>
              <w:spacing w:before="40" w:after="60" w:line="360" w:lineRule="exact"/>
              <w:jc w:val="both"/>
              <w:rPr>
                <w:rFonts w:eastAsia="Times New Roman" w:cs="Times New Roman"/>
                <w:sz w:val="28"/>
                <w:szCs w:val="28"/>
              </w:rPr>
            </w:pPr>
            <w:r>
              <w:rPr>
                <w:rFonts w:eastAsia="Times New Roman" w:cs="Times New Roman"/>
                <w:bCs/>
                <w:sz w:val="28"/>
                <w:szCs w:val="28"/>
              </w:rPr>
              <w:t xml:space="preserve">           </w:t>
            </w:r>
            <w:r w:rsidR="00D03F78" w:rsidRPr="00D03F78">
              <w:rPr>
                <w:rFonts w:eastAsia="Times New Roman" w:cs="Times New Roman"/>
                <w:bCs/>
                <w:sz w:val="28"/>
                <w:szCs w:val="28"/>
              </w:rPr>
              <w:t xml:space="preserve">UBND </w:t>
            </w:r>
            <w:r w:rsidR="00152EE3">
              <w:rPr>
                <w:rFonts w:eastAsia="Times New Roman" w:cs="Times New Roman"/>
                <w:bCs/>
                <w:sz w:val="28"/>
                <w:szCs w:val="28"/>
              </w:rPr>
              <w:t>huyện Kim Bảng</w:t>
            </w:r>
            <w:r w:rsidR="00D03F78" w:rsidRPr="00D03F78">
              <w:rPr>
                <w:rFonts w:eastAsia="Times New Roman" w:cs="Times New Roman"/>
                <w:bCs/>
                <w:sz w:val="28"/>
                <w:szCs w:val="28"/>
              </w:rPr>
              <w:t xml:space="preserve"> vừa ban hành Công văn số 1</w:t>
            </w:r>
            <w:r>
              <w:rPr>
                <w:rFonts w:eastAsia="Times New Roman" w:cs="Times New Roman"/>
                <w:bCs/>
                <w:sz w:val="28"/>
                <w:szCs w:val="28"/>
              </w:rPr>
              <w:t>908</w:t>
            </w:r>
            <w:r w:rsidR="00D03F78" w:rsidRPr="00D03F78">
              <w:rPr>
                <w:rFonts w:eastAsia="Times New Roman" w:cs="Times New Roman"/>
                <w:bCs/>
                <w:sz w:val="28"/>
                <w:szCs w:val="28"/>
              </w:rPr>
              <w:t>/UBND-</w:t>
            </w:r>
            <w:r>
              <w:rPr>
                <w:rFonts w:eastAsia="Times New Roman" w:cs="Times New Roman"/>
                <w:bCs/>
                <w:sz w:val="28"/>
                <w:szCs w:val="28"/>
              </w:rPr>
              <w:t>NHCSXH ngày 07/11/2023</w:t>
            </w:r>
            <w:r w:rsidR="00D03F78" w:rsidRPr="00D03F78">
              <w:rPr>
                <w:rFonts w:eastAsia="Times New Roman" w:cs="Times New Roman"/>
                <w:bCs/>
                <w:sz w:val="28"/>
                <w:szCs w:val="28"/>
              </w:rPr>
              <w:t xml:space="preserve"> về việc rà soát, xử lý, thu hồi nợ của khách hàng vay vốn NHCSXH đi khỏi nơi cư trú gửi Ban đại diện Hội đồng quản trị NHCSXH </w:t>
            </w:r>
            <w:r w:rsidR="00152EE3">
              <w:rPr>
                <w:rFonts w:eastAsia="Times New Roman" w:cs="Times New Roman"/>
                <w:bCs/>
                <w:sz w:val="28"/>
                <w:szCs w:val="28"/>
              </w:rPr>
              <w:t>huyện</w:t>
            </w:r>
            <w:r w:rsidR="00D03F78" w:rsidRPr="00D03F78">
              <w:rPr>
                <w:rFonts w:eastAsia="Times New Roman" w:cs="Times New Roman"/>
                <w:bCs/>
                <w:sz w:val="28"/>
                <w:szCs w:val="28"/>
              </w:rPr>
              <w:t xml:space="preserve">; Công an </w:t>
            </w:r>
            <w:r w:rsidR="00152EE3">
              <w:rPr>
                <w:rFonts w:eastAsia="Times New Roman" w:cs="Times New Roman"/>
                <w:bCs/>
                <w:sz w:val="28"/>
                <w:szCs w:val="28"/>
              </w:rPr>
              <w:t>huyện</w:t>
            </w:r>
            <w:r w:rsidR="00D03F78" w:rsidRPr="00D03F78">
              <w:rPr>
                <w:rFonts w:eastAsia="Times New Roman" w:cs="Times New Roman"/>
                <w:bCs/>
                <w:sz w:val="28"/>
                <w:szCs w:val="28"/>
              </w:rPr>
              <w:t xml:space="preserve">; Công an các xã, </w:t>
            </w:r>
            <w:r w:rsidR="00152EE3">
              <w:rPr>
                <w:rFonts w:eastAsia="Times New Roman" w:cs="Times New Roman"/>
                <w:bCs/>
                <w:sz w:val="28"/>
                <w:szCs w:val="28"/>
              </w:rPr>
              <w:t>thị trấn</w:t>
            </w:r>
            <w:r w:rsidR="00D03F78" w:rsidRPr="00D03F78">
              <w:rPr>
                <w:rFonts w:eastAsia="Times New Roman" w:cs="Times New Roman"/>
                <w:bCs/>
                <w:sz w:val="28"/>
                <w:szCs w:val="28"/>
              </w:rPr>
              <w:t xml:space="preserve">; Ngân hàng Chính sách xã hội </w:t>
            </w:r>
            <w:r w:rsidR="00152EE3">
              <w:rPr>
                <w:rFonts w:eastAsia="Times New Roman" w:cs="Times New Roman"/>
                <w:bCs/>
                <w:sz w:val="28"/>
                <w:szCs w:val="28"/>
              </w:rPr>
              <w:t>huyện Kim Bảng</w:t>
            </w:r>
            <w:r w:rsidR="00D03F78" w:rsidRPr="00D03F78">
              <w:rPr>
                <w:rFonts w:eastAsia="Times New Roman" w:cs="Times New Roman"/>
                <w:bCs/>
                <w:sz w:val="28"/>
                <w:szCs w:val="28"/>
              </w:rPr>
              <w:t xml:space="preserve">; Các tổ chức chính trị - xã hội </w:t>
            </w:r>
            <w:r w:rsidR="00152EE3">
              <w:rPr>
                <w:rFonts w:eastAsia="Times New Roman" w:cs="Times New Roman"/>
                <w:bCs/>
                <w:sz w:val="28"/>
                <w:szCs w:val="28"/>
              </w:rPr>
              <w:t>huyện</w:t>
            </w:r>
            <w:r w:rsidR="00D03F78" w:rsidRPr="00D03F78">
              <w:rPr>
                <w:rFonts w:eastAsia="Times New Roman" w:cs="Times New Roman"/>
                <w:bCs/>
                <w:sz w:val="28"/>
                <w:szCs w:val="28"/>
              </w:rPr>
              <w:t xml:space="preserve">: Hội Liên hiệp phụ nữ </w:t>
            </w:r>
            <w:r w:rsidR="00152EE3">
              <w:rPr>
                <w:rFonts w:eastAsia="Times New Roman" w:cs="Times New Roman"/>
                <w:bCs/>
                <w:sz w:val="28"/>
                <w:szCs w:val="28"/>
              </w:rPr>
              <w:t>huyện</w:t>
            </w:r>
            <w:r w:rsidR="00D03F78" w:rsidRPr="00D03F78">
              <w:rPr>
                <w:rFonts w:eastAsia="Times New Roman" w:cs="Times New Roman"/>
                <w:bCs/>
                <w:sz w:val="28"/>
                <w:szCs w:val="28"/>
              </w:rPr>
              <w:t xml:space="preserve">, Hội Nông dân </w:t>
            </w:r>
            <w:r w:rsidR="00152EE3">
              <w:rPr>
                <w:rFonts w:eastAsia="Times New Roman" w:cs="Times New Roman"/>
                <w:bCs/>
                <w:sz w:val="28"/>
                <w:szCs w:val="28"/>
              </w:rPr>
              <w:t>huyện</w:t>
            </w:r>
            <w:r w:rsidR="00D03F78" w:rsidRPr="00D03F78">
              <w:rPr>
                <w:rFonts w:eastAsia="Times New Roman" w:cs="Times New Roman"/>
                <w:bCs/>
                <w:sz w:val="28"/>
                <w:szCs w:val="28"/>
              </w:rPr>
              <w:t xml:space="preserve">, Hội Cựu chiến binh </w:t>
            </w:r>
            <w:r w:rsidR="00152EE3">
              <w:rPr>
                <w:rFonts w:eastAsia="Times New Roman" w:cs="Times New Roman"/>
                <w:bCs/>
                <w:sz w:val="28"/>
                <w:szCs w:val="28"/>
              </w:rPr>
              <w:t>huyện</w:t>
            </w:r>
            <w:r w:rsidR="00D03F78" w:rsidRPr="00D03F78">
              <w:rPr>
                <w:rFonts w:eastAsia="Times New Roman" w:cs="Times New Roman"/>
                <w:bCs/>
                <w:sz w:val="28"/>
                <w:szCs w:val="28"/>
              </w:rPr>
              <w:t xml:space="preserve">, </w:t>
            </w:r>
            <w:r w:rsidR="00152EE3">
              <w:rPr>
                <w:rFonts w:eastAsia="Times New Roman" w:cs="Times New Roman"/>
                <w:bCs/>
                <w:sz w:val="28"/>
                <w:szCs w:val="28"/>
              </w:rPr>
              <w:t>Huyện</w:t>
            </w:r>
            <w:r w:rsidR="00D03F78" w:rsidRPr="00D03F78">
              <w:rPr>
                <w:rFonts w:eastAsia="Times New Roman" w:cs="Times New Roman"/>
                <w:bCs/>
                <w:sz w:val="28"/>
                <w:szCs w:val="28"/>
              </w:rPr>
              <w:t xml:space="preserve"> Đoàn; UBND các xã, </w:t>
            </w:r>
            <w:r w:rsidR="00152EE3">
              <w:rPr>
                <w:rFonts w:eastAsia="Times New Roman" w:cs="Times New Roman"/>
                <w:bCs/>
                <w:sz w:val="28"/>
                <w:szCs w:val="28"/>
              </w:rPr>
              <w:t>thị trấn</w:t>
            </w:r>
            <w:r w:rsidR="00D03F78" w:rsidRPr="00D03F78">
              <w:rPr>
                <w:rFonts w:eastAsia="Times New Roman" w:cs="Times New Roman"/>
                <w:bCs/>
                <w:sz w:val="28"/>
                <w:szCs w:val="28"/>
              </w:rPr>
              <w:t>;</w:t>
            </w:r>
          </w:p>
          <w:p w:rsidR="00D03F78" w:rsidRDefault="00BC301F" w:rsidP="002F57C2">
            <w:pPr>
              <w:spacing w:before="40" w:after="60" w:line="360" w:lineRule="exact"/>
              <w:jc w:val="both"/>
              <w:rPr>
                <w:rFonts w:eastAsia="Times New Roman" w:cs="Times New Roman"/>
                <w:sz w:val="28"/>
                <w:szCs w:val="28"/>
              </w:rPr>
            </w:pPr>
            <w:r>
              <w:rPr>
                <w:rFonts w:eastAsia="Times New Roman" w:cs="Times New Roman"/>
                <w:sz w:val="28"/>
                <w:szCs w:val="28"/>
              </w:rPr>
              <w:t xml:space="preserve">          </w:t>
            </w:r>
            <w:r w:rsidR="00D03F78" w:rsidRPr="00D03F78">
              <w:rPr>
                <w:rFonts w:eastAsia="Times New Roman" w:cs="Times New Roman"/>
                <w:sz w:val="28"/>
                <w:szCs w:val="28"/>
              </w:rPr>
              <w:t> Nội dung Công văn cụ thể như sau:</w:t>
            </w:r>
          </w:p>
          <w:p w:rsidR="00D03F78" w:rsidRPr="00D03F78" w:rsidRDefault="00D03F78" w:rsidP="002F57C2">
            <w:pPr>
              <w:spacing w:before="40" w:after="60" w:line="360" w:lineRule="exact"/>
              <w:jc w:val="both"/>
              <w:rPr>
                <w:rFonts w:eastAsia="Times New Roman" w:cs="Times New Roman"/>
                <w:sz w:val="28"/>
                <w:szCs w:val="28"/>
              </w:rPr>
            </w:pPr>
            <w:r w:rsidRPr="00D03F78">
              <w:rPr>
                <w:rFonts w:eastAsia="Times New Roman" w:cs="Times New Roman"/>
                <w:sz w:val="28"/>
                <w:szCs w:val="28"/>
              </w:rPr>
              <w:t xml:space="preserve"> </w:t>
            </w:r>
            <w:r w:rsidR="00BC301F">
              <w:rPr>
                <w:rFonts w:eastAsia="Times New Roman" w:cs="Times New Roman"/>
                <w:sz w:val="28"/>
                <w:szCs w:val="28"/>
              </w:rPr>
              <w:t xml:space="preserve">          </w:t>
            </w:r>
            <w:r w:rsidRPr="00D03F78">
              <w:rPr>
                <w:rFonts w:eastAsia="Times New Roman" w:cs="Times New Roman"/>
                <w:sz w:val="28"/>
                <w:szCs w:val="28"/>
              </w:rPr>
              <w:t>Căn cứ Nghị định số 78/2002/NĐ-CP ngày 04/10/2002 của Chính phủ về tín dụng đối với người nghèo và các đối tượng chính sách khác:</w:t>
            </w:r>
          </w:p>
          <w:p w:rsidR="00BC301F" w:rsidRDefault="00BC301F" w:rsidP="00BC301F">
            <w:pPr>
              <w:spacing w:before="120"/>
              <w:ind w:firstLine="720"/>
              <w:jc w:val="both"/>
              <w:rPr>
                <w:sz w:val="28"/>
                <w:szCs w:val="28"/>
              </w:rPr>
            </w:pPr>
            <w:r w:rsidRPr="00D03F78">
              <w:rPr>
                <w:sz w:val="28"/>
                <w:szCs w:val="28"/>
              </w:rPr>
              <w:t xml:space="preserve">Những năm qua, hoạt động tín dụng chính sách xã hội trên địa bàn </w:t>
            </w:r>
            <w:r>
              <w:rPr>
                <w:sz w:val="28"/>
                <w:szCs w:val="28"/>
              </w:rPr>
              <w:t>huyện</w:t>
            </w:r>
            <w:r w:rsidRPr="00D03F78">
              <w:rPr>
                <w:sz w:val="28"/>
                <w:szCs w:val="28"/>
              </w:rPr>
              <w:t xml:space="preserve">đã góp phần quan trọng trong thực hiện mục tiêu giảm nghèo bền vững, xây dựng nông thôn mới, bảo đảm </w:t>
            </w:r>
            <w:proofErr w:type="gramStart"/>
            <w:r w:rsidRPr="00D03F78">
              <w:rPr>
                <w:sz w:val="28"/>
                <w:szCs w:val="28"/>
              </w:rPr>
              <w:t>an</w:t>
            </w:r>
            <w:proofErr w:type="gramEnd"/>
            <w:r w:rsidRPr="00D03F78">
              <w:rPr>
                <w:sz w:val="28"/>
                <w:szCs w:val="28"/>
              </w:rPr>
              <w:t xml:space="preserve"> sinh xã hội. Tuy nhiên, còn một số trường hợp hộ vay vốn, khi chuyển đi khỏi nơi cư trú đã không báo cáo chính quyền địa phương và NHCSXH nơi cho vay địa chỉ nơi cư trú mới và chưa thực hiện hết nghĩa vụ trả nợ gốc, lãi tiền vay, gây khó khăn cho công tác đôn độc, thu hồi nợ. </w:t>
            </w:r>
          </w:p>
          <w:p w:rsidR="00BC301F" w:rsidRDefault="00BC301F" w:rsidP="00BC301F">
            <w:pPr>
              <w:spacing w:before="120"/>
              <w:ind w:firstLine="720"/>
              <w:jc w:val="both"/>
              <w:rPr>
                <w:sz w:val="28"/>
                <w:szCs w:val="28"/>
              </w:rPr>
            </w:pPr>
            <w:r w:rsidRPr="00D03F78">
              <w:rPr>
                <w:sz w:val="28"/>
                <w:szCs w:val="28"/>
              </w:rPr>
              <w:t xml:space="preserve">Thực hiện văn bản số 7399/HD-NHCS ngày 12/9/2023 của Tổng Giám đốc NHCSXH hướng dẫn rà soát, xử lý nợ của khách hàng vay vốn đi khỏi nơi cư trú; Văn bản số 2119/UBND-KT ngày 31 tháng 10 năm 2023 của Ủy Ban nhân dân tỉnh Hà Nam về việc tăng cường công tác rà soát, xử lý, thu hồi nợ của khách hàng vay vốn NHCSXH đi khỏi nơi cư trú. Uỷ ban nhân dân </w:t>
            </w:r>
            <w:r>
              <w:rPr>
                <w:sz w:val="28"/>
                <w:szCs w:val="28"/>
              </w:rPr>
              <w:t xml:space="preserve">huyện </w:t>
            </w:r>
            <w:r w:rsidRPr="00D03F78">
              <w:rPr>
                <w:sz w:val="28"/>
                <w:szCs w:val="28"/>
              </w:rPr>
              <w:t>yêu cầu:</w:t>
            </w:r>
          </w:p>
          <w:p w:rsidR="00BC301F" w:rsidRPr="004B25F3" w:rsidRDefault="00BC301F" w:rsidP="00BC301F">
            <w:pPr>
              <w:numPr>
                <w:ilvl w:val="0"/>
                <w:numId w:val="1"/>
              </w:numPr>
              <w:spacing w:before="120" w:after="0" w:line="240" w:lineRule="auto"/>
              <w:jc w:val="both"/>
              <w:rPr>
                <w:b/>
                <w:sz w:val="28"/>
                <w:szCs w:val="28"/>
              </w:rPr>
            </w:pPr>
            <w:r w:rsidRPr="004B25F3">
              <w:rPr>
                <w:b/>
                <w:sz w:val="28"/>
                <w:szCs w:val="28"/>
              </w:rPr>
              <w:t>Ban đại diện HĐQT NHCSXH huyện</w:t>
            </w:r>
          </w:p>
          <w:p w:rsidR="00BC301F" w:rsidRDefault="00BC301F" w:rsidP="00BC301F">
            <w:pPr>
              <w:spacing w:before="120"/>
              <w:ind w:firstLine="720"/>
              <w:jc w:val="both"/>
              <w:rPr>
                <w:sz w:val="28"/>
                <w:szCs w:val="28"/>
              </w:rPr>
            </w:pPr>
            <w:r>
              <w:rPr>
                <w:sz w:val="28"/>
                <w:szCs w:val="28"/>
              </w:rPr>
              <w:t>- Chỉ đạo tổ chức triển khai thực hiện Hướng dẫn số 7399/HD- NHCS ngày 12/9/2023 của Tổng Giám đốc NHCSXH</w:t>
            </w:r>
          </w:p>
          <w:p w:rsidR="00BC301F" w:rsidRDefault="00BC301F" w:rsidP="00BC301F">
            <w:pPr>
              <w:spacing w:before="120"/>
              <w:ind w:firstLine="720"/>
              <w:jc w:val="both"/>
              <w:rPr>
                <w:sz w:val="28"/>
                <w:szCs w:val="28"/>
              </w:rPr>
            </w:pPr>
            <w:r>
              <w:rPr>
                <w:sz w:val="28"/>
                <w:szCs w:val="28"/>
              </w:rPr>
              <w:t>- Đưa nội dung rà soát, xử lý nợ của khách hàng vay vốn tại NHCSXH đi khỏi nơi cư trú vào chương trình kiểm tra, giám sát hàng năm của ban đại diện HĐQT NHCSXH huyện.</w:t>
            </w:r>
          </w:p>
          <w:p w:rsidR="00BC301F" w:rsidRPr="005B49E1" w:rsidRDefault="00BC301F" w:rsidP="00BC301F">
            <w:pPr>
              <w:spacing w:before="120" w:line="340" w:lineRule="exact"/>
              <w:ind w:firstLine="720"/>
              <w:jc w:val="both"/>
              <w:rPr>
                <w:b/>
                <w:bCs/>
                <w:sz w:val="28"/>
                <w:szCs w:val="28"/>
              </w:rPr>
            </w:pPr>
            <w:r w:rsidRPr="005B49E1">
              <w:rPr>
                <w:b/>
                <w:bCs/>
                <w:sz w:val="28"/>
                <w:szCs w:val="28"/>
              </w:rPr>
              <w:t xml:space="preserve">2. </w:t>
            </w:r>
            <w:r>
              <w:rPr>
                <w:b/>
                <w:bCs/>
                <w:sz w:val="28"/>
                <w:szCs w:val="28"/>
              </w:rPr>
              <w:t xml:space="preserve">Đề nghị </w:t>
            </w:r>
            <w:r w:rsidRPr="005B49E1">
              <w:rPr>
                <w:b/>
                <w:bCs/>
                <w:sz w:val="28"/>
                <w:szCs w:val="28"/>
              </w:rPr>
              <w:t xml:space="preserve">Công an </w:t>
            </w:r>
            <w:r>
              <w:rPr>
                <w:b/>
                <w:bCs/>
                <w:sz w:val="28"/>
                <w:szCs w:val="28"/>
              </w:rPr>
              <w:t>huyện</w:t>
            </w:r>
          </w:p>
          <w:p w:rsidR="00BC301F" w:rsidRPr="005B49E1" w:rsidRDefault="00BC301F" w:rsidP="00BC301F">
            <w:pPr>
              <w:spacing w:before="120" w:line="340" w:lineRule="exact"/>
              <w:ind w:firstLine="720"/>
              <w:jc w:val="both"/>
              <w:rPr>
                <w:sz w:val="28"/>
                <w:szCs w:val="28"/>
              </w:rPr>
            </w:pPr>
            <w:r w:rsidRPr="005B49E1">
              <w:rPr>
                <w:sz w:val="28"/>
                <w:szCs w:val="28"/>
              </w:rPr>
              <w:t xml:space="preserve">- Chỉ đạo Công an cấp xã tạo điều kiện, phối hợp với NHCSXH nơi cho </w:t>
            </w:r>
            <w:r w:rsidRPr="005B49E1">
              <w:rPr>
                <w:sz w:val="28"/>
                <w:szCs w:val="28"/>
              </w:rPr>
              <w:lastRenderedPageBreak/>
              <w:t xml:space="preserve">vay trong việc rà soát, kiểm tra, xác minh, cung cấp thông tin về cư trú </w:t>
            </w:r>
            <w:r w:rsidRPr="005B49E1">
              <w:rPr>
                <w:i/>
                <w:iCs/>
                <w:sz w:val="28"/>
                <w:szCs w:val="28"/>
              </w:rPr>
              <w:t>(địa chỉ nơi ở hiện tại, thời điểm chuyển đến, tình trạng cư trú,…)</w:t>
            </w:r>
            <w:r w:rsidRPr="005B49E1">
              <w:rPr>
                <w:sz w:val="28"/>
                <w:szCs w:val="28"/>
              </w:rPr>
              <w:t xml:space="preserve"> của người đứng tên vay vốn NHCSXH và các thành viên khác trong hộ gia đình </w:t>
            </w:r>
            <w:r w:rsidRPr="005B49E1">
              <w:rPr>
                <w:i/>
                <w:iCs/>
                <w:sz w:val="28"/>
                <w:szCs w:val="28"/>
              </w:rPr>
              <w:t>(theo danh sách do NHCSXH nơi cho vay lập và đề nghị hỗ trợ rà soát, xác minh)</w:t>
            </w:r>
            <w:r w:rsidRPr="005B49E1">
              <w:rPr>
                <w:sz w:val="28"/>
                <w:szCs w:val="28"/>
              </w:rPr>
              <w:t>.</w:t>
            </w:r>
          </w:p>
          <w:p w:rsidR="00BC301F" w:rsidRDefault="00BC301F" w:rsidP="00BC301F">
            <w:pPr>
              <w:spacing w:before="120" w:line="340" w:lineRule="exact"/>
              <w:ind w:firstLine="720"/>
              <w:jc w:val="both"/>
              <w:rPr>
                <w:sz w:val="28"/>
                <w:szCs w:val="28"/>
              </w:rPr>
            </w:pPr>
            <w:r w:rsidRPr="005B49E1">
              <w:rPr>
                <w:sz w:val="28"/>
                <w:szCs w:val="28"/>
              </w:rPr>
              <w:t xml:space="preserve">- </w:t>
            </w:r>
            <w:r>
              <w:rPr>
                <w:sz w:val="28"/>
                <w:szCs w:val="28"/>
              </w:rPr>
              <w:t>Chỉ đạo lực lượng</w:t>
            </w:r>
            <w:r w:rsidRPr="005B49E1">
              <w:rPr>
                <w:sz w:val="28"/>
                <w:szCs w:val="28"/>
              </w:rPr>
              <w:t xml:space="preserve"> Công an cấp xã tham gia </w:t>
            </w:r>
            <w:r>
              <w:rPr>
                <w:sz w:val="28"/>
                <w:szCs w:val="28"/>
              </w:rPr>
              <w:t xml:space="preserve">thực hiện nhiệm vụ của </w:t>
            </w:r>
            <w:r w:rsidRPr="005B49E1">
              <w:rPr>
                <w:sz w:val="28"/>
                <w:szCs w:val="28"/>
              </w:rPr>
              <w:t xml:space="preserve">Tổ hỗ trợ rà soát, xử lý nợ và thực hiện các nhiệm vụ theo sự phân công của Chủ tịch UBND cấp xã; xác nhận đối với trường hợp khách hàng vay vốn NHCSXH </w:t>
            </w:r>
            <w:r w:rsidRPr="005B49E1">
              <w:rPr>
                <w:i/>
                <w:iCs/>
                <w:sz w:val="28"/>
                <w:szCs w:val="28"/>
              </w:rPr>
              <w:t>“vắng mặt tại nơi cư trú và không có thông tin xác thực về tung tích từ 02 năm liền trở lên, tính từ thời điểm biết được tin tức cuối cùng về khách hàng vay vốn”</w:t>
            </w:r>
            <w:r w:rsidRPr="005B49E1">
              <w:rPr>
                <w:sz w:val="28"/>
                <w:szCs w:val="28"/>
              </w:rPr>
              <w:t xml:space="preserve"> theo quy định tại điểm 4 khoản 2 điều 1 Quyết định số 08/2021/QĐ-TTg ngày 11/3/2021 của Thủ tướng Chính phủ về sửa đổi, bổ sung một số điều của Quy chế xử lý nợ bị rủi ro tại NHCSXH ban hành kèm theo Quyết định số 50/2010/QĐ-TTg ngày 28/7/2010 của Thủ tướng Chính phủ làm cơ sở xem xét, đề nghị các biện pháp xử lý nợ bị rủi ro theo quy định.</w:t>
            </w:r>
          </w:p>
          <w:p w:rsidR="00BC301F" w:rsidRPr="006273B4" w:rsidRDefault="00BC301F" w:rsidP="00BC301F">
            <w:pPr>
              <w:spacing w:before="120" w:line="340" w:lineRule="exact"/>
              <w:ind w:firstLine="720"/>
              <w:jc w:val="both"/>
              <w:rPr>
                <w:b/>
                <w:sz w:val="28"/>
                <w:szCs w:val="28"/>
              </w:rPr>
            </w:pPr>
            <w:r>
              <w:rPr>
                <w:b/>
                <w:sz w:val="28"/>
                <w:szCs w:val="28"/>
              </w:rPr>
              <w:t>3</w:t>
            </w:r>
            <w:r w:rsidRPr="006273B4">
              <w:rPr>
                <w:b/>
                <w:sz w:val="28"/>
                <w:szCs w:val="28"/>
              </w:rPr>
              <w:t xml:space="preserve">. </w:t>
            </w:r>
            <w:r>
              <w:rPr>
                <w:b/>
                <w:sz w:val="28"/>
                <w:szCs w:val="28"/>
              </w:rPr>
              <w:t>Các tổ chức chính trị - xã hội</w:t>
            </w:r>
            <w:r w:rsidRPr="006273B4">
              <w:rPr>
                <w:b/>
                <w:sz w:val="28"/>
                <w:szCs w:val="28"/>
              </w:rPr>
              <w:t xml:space="preserve"> nhận ủy thác </w:t>
            </w:r>
            <w:r>
              <w:rPr>
                <w:b/>
                <w:sz w:val="28"/>
                <w:szCs w:val="28"/>
              </w:rPr>
              <w:t>nguồn vốn tín dụng chính sách huyện</w:t>
            </w:r>
          </w:p>
          <w:p w:rsidR="00BC301F" w:rsidRPr="00A659EE" w:rsidRDefault="00BC301F" w:rsidP="00BC301F">
            <w:pPr>
              <w:spacing w:before="120" w:line="340" w:lineRule="exact"/>
              <w:ind w:firstLine="720"/>
              <w:jc w:val="both"/>
              <w:rPr>
                <w:rFonts w:eastAsia="Calibri"/>
                <w:kern w:val="2"/>
                <w:sz w:val="28"/>
              </w:rPr>
            </w:pPr>
            <w:r w:rsidRPr="00A659EE">
              <w:rPr>
                <w:rFonts w:eastAsia="Calibri"/>
                <w:kern w:val="2"/>
                <w:sz w:val="28"/>
              </w:rPr>
              <w:t>- Phối hợp với Phòng giao dịch NHCSXH huyện tổ chức phổ biến, quán triệt, triển khai Hướng dẫn số 7399/HD-NHCS của Tổng Giám đốc NHCSXH gắn với củng cố, nâng cao chất lượng tín dụng, gắn trách nhiệm của tổ trưởng Tổ tiết kiệm và vay vốn trong việc bình xét cho vay, thường xuyên theo dõi, giám sát và thông báo kịp thời những tổ viên trong Tổ thay đổi nơi cư trú.</w:t>
            </w:r>
          </w:p>
          <w:p w:rsidR="00BC301F" w:rsidRPr="00A659EE" w:rsidRDefault="00BC301F" w:rsidP="00BC301F">
            <w:pPr>
              <w:spacing w:before="120" w:line="340" w:lineRule="exact"/>
              <w:ind w:firstLine="720"/>
              <w:jc w:val="both"/>
              <w:rPr>
                <w:rFonts w:eastAsia="Calibri"/>
                <w:kern w:val="2"/>
                <w:sz w:val="28"/>
              </w:rPr>
            </w:pPr>
            <w:r w:rsidRPr="00A659EE">
              <w:rPr>
                <w:sz w:val="28"/>
                <w:szCs w:val="28"/>
              </w:rPr>
              <w:t>- Tăng cường công tác thông tin, tuyên truyền chủ trương, chính sách tín dụng ưu đãi, mô hình sử dụng vốn vay hiệu quả; trách nhiệm, nghĩa vụ trả nợ tiền vay, cũng như việc rà soát, giải pháp xử lý nợ của khách hàng vay vốn NHCSXH đi khỏi nơi cư trú.</w:t>
            </w:r>
          </w:p>
          <w:p w:rsidR="00BC301F" w:rsidRPr="00A659EE" w:rsidRDefault="00BC301F" w:rsidP="00BC301F">
            <w:pPr>
              <w:spacing w:before="120" w:line="340" w:lineRule="exact"/>
              <w:ind w:firstLine="720"/>
              <w:jc w:val="both"/>
              <w:rPr>
                <w:rFonts w:eastAsia="Calibri"/>
                <w:kern w:val="2"/>
                <w:sz w:val="28"/>
                <w:szCs w:val="28"/>
              </w:rPr>
            </w:pPr>
            <w:r w:rsidRPr="00A659EE">
              <w:rPr>
                <w:rFonts w:eastAsia="Calibri"/>
                <w:kern w:val="2"/>
                <w:sz w:val="28"/>
                <w:szCs w:val="28"/>
              </w:rPr>
              <w:t xml:space="preserve">- Chỉ đạo Hội, đoàn thể cấp xã thực hiện nghiêm túc các nội dung nhận ủy thác, trong đó cần đặc biệt quan tâm đến công tác bình xét cho vay đảm bảo đúng quy định, tăng cường công tác kiểm tra, giám sát; phối hợp với NHCSXH tỉnh tổ chức tập huấn, tham mưu kịp thời cho cấp ủy, chính quyền địa phương rà soát, xử lý, đôn đốc thu hồi các trường hợp nợ quá hạn, nợ khoanh, nợ của khách hàng đi khỏi nơi cư trú. </w:t>
            </w:r>
          </w:p>
          <w:p w:rsidR="00BC301F" w:rsidRDefault="00BC301F" w:rsidP="00BC301F">
            <w:pPr>
              <w:pStyle w:val="NormalWeb"/>
              <w:shd w:val="clear" w:color="auto" w:fill="FFFFFF"/>
              <w:spacing w:before="120" w:beforeAutospacing="0" w:after="0" w:afterAutospacing="0" w:line="340" w:lineRule="exact"/>
              <w:ind w:firstLine="720"/>
              <w:jc w:val="both"/>
              <w:rPr>
                <w:color w:val="000000"/>
                <w:sz w:val="28"/>
                <w:szCs w:val="28"/>
                <w:shd w:val="clear" w:color="auto" w:fill="FFFFFF"/>
              </w:rPr>
            </w:pPr>
            <w:r w:rsidRPr="006F63E7">
              <w:rPr>
                <w:color w:val="000000"/>
                <w:sz w:val="28"/>
                <w:szCs w:val="28"/>
                <w:shd w:val="clear" w:color="auto" w:fill="FFFFFF"/>
              </w:rPr>
              <w:t>- Đưa vào chương trình kiểm tra, giám sát hàng năm của Hội về công tác phối hợp rà soát, xử lý nợ của khách hàng vay vốn đi khỏi nơi cư trú theo hướng dẫn tại Văn bản số 7399/HD-NHCS của Tổng Giám đốc NHCSXH.</w:t>
            </w:r>
          </w:p>
          <w:p w:rsidR="00BC301F" w:rsidRDefault="00BC301F" w:rsidP="00BC301F">
            <w:pPr>
              <w:spacing w:before="120" w:line="340" w:lineRule="exact"/>
              <w:ind w:firstLine="720"/>
              <w:jc w:val="both"/>
              <w:rPr>
                <w:b/>
                <w:sz w:val="28"/>
              </w:rPr>
            </w:pPr>
            <w:r>
              <w:rPr>
                <w:b/>
                <w:sz w:val="28"/>
                <w:szCs w:val="28"/>
              </w:rPr>
              <w:lastRenderedPageBreak/>
              <w:t>4</w:t>
            </w:r>
            <w:r w:rsidRPr="006273B4">
              <w:rPr>
                <w:b/>
                <w:sz w:val="28"/>
                <w:szCs w:val="28"/>
              </w:rPr>
              <w:t xml:space="preserve">. </w:t>
            </w:r>
            <w:r w:rsidRPr="00D41E4A">
              <w:rPr>
                <w:b/>
                <w:sz w:val="28"/>
              </w:rPr>
              <w:t>Phòng giao dịch NHCSXH huyện</w:t>
            </w:r>
          </w:p>
          <w:p w:rsidR="00BC301F" w:rsidRDefault="00BC301F" w:rsidP="00BC301F">
            <w:pPr>
              <w:spacing w:before="120" w:line="340" w:lineRule="exact"/>
              <w:ind w:firstLine="720"/>
              <w:jc w:val="both"/>
              <w:rPr>
                <w:color w:val="000000"/>
                <w:sz w:val="28"/>
                <w:szCs w:val="28"/>
                <w:shd w:val="clear" w:color="auto" w:fill="FFFFFF"/>
              </w:rPr>
            </w:pPr>
            <w:r w:rsidRPr="004B25F3">
              <w:rPr>
                <w:color w:val="000000"/>
                <w:sz w:val="28"/>
                <w:szCs w:val="28"/>
                <w:shd w:val="clear" w:color="auto" w:fill="FFFFFF"/>
              </w:rPr>
              <w:t xml:space="preserve">- </w:t>
            </w:r>
            <w:r>
              <w:rPr>
                <w:color w:val="000000"/>
                <w:sz w:val="28"/>
                <w:szCs w:val="28"/>
                <w:shd w:val="clear" w:color="auto" w:fill="FFFFFF"/>
              </w:rPr>
              <w:t>T</w:t>
            </w:r>
            <w:r w:rsidRPr="004B25F3">
              <w:rPr>
                <w:color w:val="000000"/>
                <w:sz w:val="28"/>
                <w:szCs w:val="28"/>
                <w:shd w:val="clear" w:color="auto" w:fill="FFFFFF"/>
              </w:rPr>
              <w:t xml:space="preserve">ham mưu Ban đại diện HĐQT NHCSXH chỉ đạo, đôn đốc và hướng dẫn các xã, </w:t>
            </w:r>
            <w:r>
              <w:rPr>
                <w:color w:val="000000"/>
                <w:sz w:val="28"/>
                <w:szCs w:val="28"/>
                <w:shd w:val="clear" w:color="auto" w:fill="FFFFFF"/>
              </w:rPr>
              <w:t>thị trấn</w:t>
            </w:r>
            <w:r w:rsidRPr="004B25F3">
              <w:rPr>
                <w:color w:val="000000"/>
                <w:sz w:val="28"/>
                <w:szCs w:val="28"/>
                <w:shd w:val="clear" w:color="auto" w:fill="FFFFFF"/>
              </w:rPr>
              <w:t xml:space="preserve"> thường xuyên rà soát, xử lý nợ của khách hàng</w:t>
            </w:r>
            <w:r>
              <w:rPr>
                <w:color w:val="000000"/>
                <w:sz w:val="28"/>
                <w:szCs w:val="28"/>
                <w:shd w:val="clear" w:color="auto" w:fill="FFFFFF"/>
              </w:rPr>
              <w:t xml:space="preserve"> </w:t>
            </w:r>
            <w:r w:rsidRPr="004B25F3">
              <w:rPr>
                <w:color w:val="000000"/>
                <w:sz w:val="28"/>
                <w:szCs w:val="28"/>
                <w:shd w:val="clear" w:color="auto" w:fill="FFFFFF"/>
              </w:rPr>
              <w:t>đi khỏi nơi cư</w:t>
            </w:r>
            <w:r>
              <w:rPr>
                <w:color w:val="000000"/>
                <w:sz w:val="28"/>
                <w:szCs w:val="28"/>
                <w:shd w:val="clear" w:color="auto" w:fill="FFFFFF"/>
              </w:rPr>
              <w:t xml:space="preserve"> trú.</w:t>
            </w:r>
          </w:p>
          <w:p w:rsidR="00BC301F" w:rsidRDefault="00BC301F" w:rsidP="00BC301F">
            <w:pPr>
              <w:spacing w:before="120" w:line="340" w:lineRule="exact"/>
              <w:ind w:firstLine="720"/>
              <w:jc w:val="both"/>
              <w:rPr>
                <w:color w:val="000000"/>
                <w:sz w:val="28"/>
                <w:szCs w:val="28"/>
                <w:shd w:val="clear" w:color="auto" w:fill="FFFFFF"/>
              </w:rPr>
            </w:pPr>
            <w:r w:rsidRPr="004B25F3">
              <w:rPr>
                <w:color w:val="000000"/>
                <w:sz w:val="28"/>
                <w:szCs w:val="28"/>
                <w:shd w:val="clear" w:color="auto" w:fill="FFFFFF"/>
              </w:rPr>
              <w:t xml:space="preserve"> - Chủ trì, phối hợp với các tổ chức chính trị - xã hội nhận ủy thác triển khai, tổ chức tập huấn Hướng dẫn số 7399/HD-NHCS của Tổng Giám đốc NHCSXH, đồng thời tăng cường công tác tuyên truyền, vận động, hướng dẫn, kiểm tra, giám sát việc thực hiện tại cơ</w:t>
            </w:r>
            <w:r>
              <w:rPr>
                <w:color w:val="000000"/>
                <w:sz w:val="28"/>
                <w:szCs w:val="28"/>
                <w:shd w:val="clear" w:color="auto" w:fill="FFFFFF"/>
              </w:rPr>
              <w:t xml:space="preserve"> sở.</w:t>
            </w:r>
          </w:p>
          <w:p w:rsidR="00BC301F" w:rsidRDefault="00BC301F" w:rsidP="00BC301F">
            <w:pPr>
              <w:spacing w:before="120" w:line="340" w:lineRule="exact"/>
              <w:ind w:firstLine="720"/>
              <w:jc w:val="both"/>
              <w:rPr>
                <w:color w:val="000000"/>
                <w:sz w:val="28"/>
                <w:szCs w:val="28"/>
                <w:shd w:val="clear" w:color="auto" w:fill="FFFFFF"/>
              </w:rPr>
            </w:pPr>
            <w:r w:rsidRPr="004B25F3">
              <w:rPr>
                <w:color w:val="000000"/>
                <w:sz w:val="28"/>
                <w:szCs w:val="28"/>
                <w:shd w:val="clear" w:color="auto" w:fill="FFFFFF"/>
              </w:rPr>
              <w:t xml:space="preserve"> - Đào tạo, bồi dưỡng cán bộ, phát động thi đua, đưa vào chương trình kiểm tra hằng năm hoặc kiểm tra đột xuất, tự kiểm tra việc tham mưu, tổ chức triển khai thực hiện Hướng dẫn số 7399/HD-NHCS của Tổng Giám đốc NHCSXH.</w:t>
            </w:r>
          </w:p>
          <w:p w:rsidR="00BC301F" w:rsidRDefault="00BC301F" w:rsidP="00BC301F">
            <w:pPr>
              <w:spacing w:before="120" w:line="340" w:lineRule="exact"/>
              <w:ind w:firstLine="720"/>
              <w:jc w:val="both"/>
              <w:rPr>
                <w:color w:val="000000"/>
                <w:sz w:val="28"/>
                <w:szCs w:val="28"/>
                <w:shd w:val="clear" w:color="auto" w:fill="FFFFFF"/>
              </w:rPr>
            </w:pPr>
            <w:r w:rsidRPr="004B25F3">
              <w:rPr>
                <w:color w:val="000000"/>
                <w:sz w:val="28"/>
                <w:szCs w:val="28"/>
                <w:shd w:val="clear" w:color="auto" w:fill="FFFFFF"/>
              </w:rPr>
              <w:t>- Tổ chức triển khai, hướng dẫn nội dung rà soát, xử lý nợ của khách hàng đi khỏi nơi cư trú theo Hướng dẫn số 7399/HD-NHCS của Tổng Giám đốc NHCSXH đến UBND cấp xã, các ban ngành có liên quan, Tổ chức chính trị - xã hội nhận ủy thác, Tổ trưởng Tổ Tiết kiệm và vay vốn, Trưởng thôn, TDP để triển khai thực hiện.</w:t>
            </w:r>
          </w:p>
          <w:p w:rsidR="00BC301F" w:rsidRDefault="00BC301F" w:rsidP="00BC301F">
            <w:pPr>
              <w:spacing w:before="120" w:line="340" w:lineRule="exact"/>
              <w:ind w:firstLine="720"/>
              <w:jc w:val="both"/>
              <w:rPr>
                <w:color w:val="000000"/>
                <w:sz w:val="28"/>
                <w:szCs w:val="28"/>
                <w:shd w:val="clear" w:color="auto" w:fill="FFFFFF"/>
              </w:rPr>
            </w:pPr>
            <w:r w:rsidRPr="004B25F3">
              <w:rPr>
                <w:color w:val="000000"/>
                <w:sz w:val="28"/>
                <w:szCs w:val="28"/>
                <w:shd w:val="clear" w:color="auto" w:fill="FFFFFF"/>
              </w:rPr>
              <w:t>- Tăng cường công tác thông tin, tuyên truyền chủ trương, chính sách tín dụng ưu đãi, mô hình sử dụng vốn vay hiệu quả; trách nhiệm, nghĩa vụ trả nợ tiền vay, cũng như việc rà soát, giải pháp xử lý nợ của khách hàng vay vốn NHCSXH đi khỏi nơi cư</w:t>
            </w:r>
            <w:r>
              <w:rPr>
                <w:color w:val="000000"/>
                <w:sz w:val="28"/>
                <w:szCs w:val="28"/>
                <w:shd w:val="clear" w:color="auto" w:fill="FFFFFF"/>
              </w:rPr>
              <w:t xml:space="preserve"> trú.</w:t>
            </w:r>
          </w:p>
          <w:p w:rsidR="00BC301F" w:rsidRDefault="00BC301F" w:rsidP="00BC301F">
            <w:pPr>
              <w:spacing w:before="120" w:line="340" w:lineRule="exact"/>
              <w:ind w:firstLine="720"/>
              <w:jc w:val="both"/>
              <w:rPr>
                <w:color w:val="000000"/>
                <w:sz w:val="28"/>
                <w:szCs w:val="28"/>
                <w:shd w:val="clear" w:color="auto" w:fill="FFFFFF"/>
              </w:rPr>
            </w:pPr>
            <w:r w:rsidRPr="004B25F3">
              <w:rPr>
                <w:color w:val="000000"/>
                <w:sz w:val="28"/>
                <w:szCs w:val="28"/>
                <w:shd w:val="clear" w:color="auto" w:fill="FFFFFF"/>
              </w:rPr>
              <w:t xml:space="preserve"> - Triển khai việc rà soát, xử lý nợ của khách hàng đi khỏi nơi cư trú với vai trò là Ngân hàng nơi cho vay và Ngân hàng nơi hỗ trợ; hướng dẫn, hoàn thiện hồ sơ, thủ tục và thanh quyết toán kinh phí cho Tổ hỗ trợ rà soát, xử lý nợ cấp xã theo Quy chế quản lý tài chính trong hệ thống NHCSXH từng thời kỳ.</w:t>
            </w:r>
          </w:p>
          <w:p w:rsidR="00BC301F" w:rsidRDefault="00BC301F" w:rsidP="00BC301F">
            <w:pPr>
              <w:spacing w:before="120" w:line="340" w:lineRule="exact"/>
              <w:ind w:firstLine="720"/>
              <w:jc w:val="both"/>
              <w:rPr>
                <w:color w:val="000000"/>
                <w:sz w:val="28"/>
                <w:szCs w:val="28"/>
                <w:shd w:val="clear" w:color="auto" w:fill="FFFFFF"/>
              </w:rPr>
            </w:pPr>
            <w:r>
              <w:rPr>
                <w:color w:val="000000"/>
                <w:sz w:val="28"/>
                <w:szCs w:val="28"/>
                <w:shd w:val="clear" w:color="auto" w:fill="FFFFFF"/>
              </w:rPr>
              <w:t>-</w:t>
            </w:r>
            <w:r w:rsidRPr="004B25F3">
              <w:rPr>
                <w:color w:val="000000"/>
                <w:sz w:val="28"/>
                <w:szCs w:val="28"/>
                <w:shd w:val="clear" w:color="auto" w:fill="FFFFFF"/>
              </w:rPr>
              <w:t xml:space="preserve"> Định kỳ hàng quý (tại các kỳ họp Ban đại diện HĐQT NHCSXH), báo cáo kết quả triển khai rà soát, xử lý nợ của khách hàng vay vốn đi khỏi nơi cư trú; đề xuất giải pháp tháo gỡ khó khăn, vướng mắc trong quá trình triển khai thực hiện.</w:t>
            </w:r>
          </w:p>
          <w:p w:rsidR="00BC301F" w:rsidRPr="004B25F3" w:rsidRDefault="00BC301F" w:rsidP="00BC301F">
            <w:pPr>
              <w:spacing w:before="120" w:line="340" w:lineRule="exact"/>
              <w:ind w:firstLine="720"/>
              <w:jc w:val="both"/>
              <w:rPr>
                <w:b/>
                <w:sz w:val="28"/>
                <w:szCs w:val="28"/>
              </w:rPr>
            </w:pPr>
            <w:r w:rsidRPr="004B25F3">
              <w:rPr>
                <w:color w:val="000000"/>
                <w:sz w:val="28"/>
                <w:szCs w:val="28"/>
                <w:shd w:val="clear" w:color="auto" w:fill="FFFFFF"/>
              </w:rPr>
              <w:t xml:space="preserve">- Tổng hợp, báo cáo UBND </w:t>
            </w:r>
            <w:r>
              <w:rPr>
                <w:color w:val="000000"/>
                <w:sz w:val="28"/>
                <w:szCs w:val="28"/>
                <w:shd w:val="clear" w:color="auto" w:fill="FFFFFF"/>
              </w:rPr>
              <w:t>huyện</w:t>
            </w:r>
            <w:r w:rsidRPr="004B25F3">
              <w:rPr>
                <w:color w:val="000000"/>
                <w:sz w:val="28"/>
                <w:szCs w:val="28"/>
                <w:shd w:val="clear" w:color="auto" w:fill="FFFFFF"/>
              </w:rPr>
              <w:t xml:space="preserve"> những khó khăn, vướng mắc trong quá trình triển khai thực hiện chỉ đạo của UBND </w:t>
            </w:r>
            <w:r>
              <w:rPr>
                <w:color w:val="000000"/>
                <w:sz w:val="28"/>
                <w:szCs w:val="28"/>
                <w:shd w:val="clear" w:color="auto" w:fill="FFFFFF"/>
              </w:rPr>
              <w:t>huyện</w:t>
            </w:r>
            <w:r w:rsidRPr="004B25F3">
              <w:rPr>
                <w:color w:val="000000"/>
                <w:sz w:val="28"/>
                <w:szCs w:val="28"/>
                <w:shd w:val="clear" w:color="auto" w:fill="FFFFFF"/>
              </w:rPr>
              <w:t xml:space="preserve"> tại Công văn này.</w:t>
            </w:r>
          </w:p>
          <w:p w:rsidR="00BC301F" w:rsidRDefault="00BC301F" w:rsidP="00BC301F">
            <w:pPr>
              <w:spacing w:before="120" w:line="340" w:lineRule="exact"/>
              <w:jc w:val="both"/>
              <w:rPr>
                <w:b/>
                <w:sz w:val="28"/>
                <w:szCs w:val="28"/>
              </w:rPr>
            </w:pPr>
            <w:r w:rsidRPr="006273B4">
              <w:rPr>
                <w:b/>
                <w:sz w:val="28"/>
                <w:szCs w:val="28"/>
              </w:rPr>
              <w:tab/>
            </w:r>
            <w:r>
              <w:rPr>
                <w:b/>
                <w:sz w:val="28"/>
                <w:szCs w:val="28"/>
              </w:rPr>
              <w:t>5</w:t>
            </w:r>
            <w:r w:rsidRPr="006273B4">
              <w:rPr>
                <w:b/>
                <w:sz w:val="28"/>
                <w:szCs w:val="28"/>
              </w:rPr>
              <w:t xml:space="preserve">. </w:t>
            </w:r>
            <w:r>
              <w:rPr>
                <w:b/>
                <w:sz w:val="28"/>
                <w:szCs w:val="28"/>
              </w:rPr>
              <w:t>Uỷ ban nhân dân</w:t>
            </w:r>
            <w:r w:rsidRPr="006273B4">
              <w:rPr>
                <w:b/>
                <w:sz w:val="28"/>
                <w:szCs w:val="28"/>
              </w:rPr>
              <w:t xml:space="preserve"> </w:t>
            </w:r>
            <w:r>
              <w:rPr>
                <w:b/>
                <w:sz w:val="28"/>
                <w:szCs w:val="28"/>
              </w:rPr>
              <w:t xml:space="preserve">các xã, thị trấn </w:t>
            </w:r>
          </w:p>
          <w:p w:rsidR="00BC301F" w:rsidRPr="00DB5965" w:rsidRDefault="00BC301F" w:rsidP="00BC301F">
            <w:pPr>
              <w:spacing w:before="120" w:line="340" w:lineRule="exact"/>
              <w:ind w:firstLine="720"/>
              <w:jc w:val="both"/>
              <w:rPr>
                <w:sz w:val="28"/>
                <w:szCs w:val="28"/>
              </w:rPr>
            </w:pPr>
            <w:r w:rsidRPr="00DB5965">
              <w:rPr>
                <w:color w:val="000000"/>
                <w:sz w:val="28"/>
                <w:szCs w:val="28"/>
                <w:shd w:val="clear" w:color="auto" w:fill="FFFFFF"/>
              </w:rPr>
              <w:t xml:space="preserve">- Chủ tịch UBND các xã, </w:t>
            </w:r>
            <w:r>
              <w:rPr>
                <w:color w:val="000000"/>
                <w:sz w:val="28"/>
                <w:szCs w:val="28"/>
                <w:shd w:val="clear" w:color="auto" w:fill="FFFFFF"/>
              </w:rPr>
              <w:t>thị trấn</w:t>
            </w:r>
            <w:r w:rsidRPr="00DB5965">
              <w:rPr>
                <w:color w:val="000000"/>
                <w:sz w:val="28"/>
                <w:szCs w:val="28"/>
                <w:shd w:val="clear" w:color="auto" w:fill="FFFFFF"/>
              </w:rPr>
              <w:t xml:space="preserve"> chỉ đạo tổ chức chính trị - xã hội nhận ủy </w:t>
            </w:r>
            <w:r w:rsidRPr="00DB5965">
              <w:rPr>
                <w:color w:val="000000"/>
                <w:sz w:val="28"/>
                <w:szCs w:val="28"/>
                <w:shd w:val="clear" w:color="auto" w:fill="FFFFFF"/>
              </w:rPr>
              <w:lastRenderedPageBreak/>
              <w:t>thác; Trưởng thôn, tổ dân phố; Tổ trưởng tổ TK&amp;VV tổ chức tuyên truyền, phổ biến, triển khai thực hiện Văn bản số 7399/HD-NHCS của Tổng Giám đốc NHCSXH.</w:t>
            </w:r>
            <w:r w:rsidRPr="00DB5965">
              <w:rPr>
                <w:b/>
                <w:bCs/>
                <w:sz w:val="28"/>
                <w:szCs w:val="28"/>
              </w:rPr>
              <w:tab/>
            </w:r>
          </w:p>
          <w:p w:rsidR="00BC301F" w:rsidRDefault="00BC301F" w:rsidP="00BC301F">
            <w:pPr>
              <w:spacing w:before="120" w:line="340" w:lineRule="exact"/>
              <w:jc w:val="both"/>
              <w:rPr>
                <w:color w:val="000000"/>
                <w:sz w:val="28"/>
                <w:szCs w:val="28"/>
                <w:shd w:val="clear" w:color="auto" w:fill="FFFFFF"/>
              </w:rPr>
            </w:pPr>
            <w:r w:rsidRPr="006273B4">
              <w:rPr>
                <w:sz w:val="28"/>
                <w:szCs w:val="28"/>
              </w:rPr>
              <w:tab/>
            </w:r>
            <w:r w:rsidRPr="00DB5965">
              <w:rPr>
                <w:color w:val="000000"/>
                <w:sz w:val="28"/>
                <w:szCs w:val="28"/>
                <w:shd w:val="clear" w:color="auto" w:fill="FFFFFF"/>
              </w:rPr>
              <w:t>- Chỉ đạo thôn, TDP, Tổ tiết kiệm và vay vốn chịu trách nhiệm thường xuyên theo dõi, giám sát chặt chẽ khách hàng vay vốn NHCSXH. Khi phát hiện các trường hợp đang làm thủ tục hoặc sắp đi khỏi nơi cư trú phải</w:t>
            </w:r>
            <w:r>
              <w:rPr>
                <w:color w:val="000000"/>
                <w:sz w:val="28"/>
                <w:szCs w:val="28"/>
                <w:shd w:val="clear" w:color="auto" w:fill="FFFFFF"/>
              </w:rPr>
              <w:t xml:space="preserve"> có trách nhiệm báo cáo NHCSXH huyện</w:t>
            </w:r>
            <w:r w:rsidRPr="00DB5965">
              <w:rPr>
                <w:color w:val="000000"/>
                <w:sz w:val="28"/>
                <w:szCs w:val="28"/>
                <w:shd w:val="clear" w:color="auto" w:fill="FFFFFF"/>
              </w:rPr>
              <w:t>, UBND xã, Hội đoàn thể cấp xã để giám sát và có biện pháp xử lý thu hồi</w:t>
            </w:r>
            <w:r>
              <w:rPr>
                <w:color w:val="000000"/>
                <w:sz w:val="28"/>
                <w:szCs w:val="28"/>
                <w:shd w:val="clear" w:color="auto" w:fill="FFFFFF"/>
              </w:rPr>
              <w:t xml:space="preserve"> nợ.                                                                                                                                                                                                                                                                                                                                                                                                                                                                                                             </w:t>
            </w:r>
          </w:p>
          <w:p w:rsidR="00BC301F" w:rsidRDefault="00BC301F" w:rsidP="00BC301F">
            <w:pPr>
              <w:spacing w:before="120" w:line="340" w:lineRule="exact"/>
              <w:jc w:val="both"/>
              <w:rPr>
                <w:color w:val="000000"/>
                <w:sz w:val="28"/>
                <w:szCs w:val="28"/>
                <w:shd w:val="clear" w:color="auto" w:fill="FFFFFF"/>
              </w:rPr>
            </w:pPr>
            <w:r>
              <w:rPr>
                <w:color w:val="000000"/>
                <w:sz w:val="28"/>
                <w:szCs w:val="28"/>
                <w:shd w:val="clear" w:color="auto" w:fill="FFFFFF"/>
              </w:rPr>
              <w:t xml:space="preserve"> </w:t>
            </w:r>
            <w:r w:rsidRPr="00DB5965">
              <w:rPr>
                <w:color w:val="000000"/>
                <w:sz w:val="28"/>
                <w:szCs w:val="28"/>
                <w:shd w:val="clear" w:color="auto" w:fill="FFFFFF"/>
              </w:rPr>
              <w:t xml:space="preserve"> </w:t>
            </w:r>
            <w:r>
              <w:rPr>
                <w:color w:val="000000"/>
                <w:sz w:val="28"/>
                <w:szCs w:val="28"/>
                <w:shd w:val="clear" w:color="auto" w:fill="FFFFFF"/>
              </w:rPr>
              <w:tab/>
              <w:t>-</w:t>
            </w:r>
            <w:r w:rsidRPr="00DB5965">
              <w:rPr>
                <w:color w:val="000000"/>
                <w:sz w:val="28"/>
                <w:szCs w:val="28"/>
                <w:shd w:val="clear" w:color="auto" w:fill="FFFFFF"/>
              </w:rPr>
              <w:t xml:space="preserve"> Mời các thành phần có liên quan và tổ chức, chủ trì cuộc họp để rà soát, xác minh và bàn giải pháp xử lý đổi với khách hàng vay vốn NHCSXH đi khỏi nơi cư trú trên địa bàn xã theo Hướng dẫn số 7399/HD-NHCS của Tổng Giám đốc NHCSXH.</w:t>
            </w:r>
          </w:p>
          <w:p w:rsidR="00BC301F" w:rsidRDefault="00BC301F" w:rsidP="00BC301F">
            <w:pPr>
              <w:spacing w:before="120" w:line="340" w:lineRule="exact"/>
              <w:ind w:firstLine="720"/>
              <w:jc w:val="both"/>
              <w:rPr>
                <w:color w:val="000000"/>
                <w:sz w:val="28"/>
                <w:szCs w:val="28"/>
                <w:shd w:val="clear" w:color="auto" w:fill="FFFFFF"/>
              </w:rPr>
            </w:pPr>
            <w:r w:rsidRPr="00DB5965">
              <w:rPr>
                <w:color w:val="000000"/>
                <w:sz w:val="28"/>
                <w:szCs w:val="28"/>
                <w:shd w:val="clear" w:color="auto" w:fill="FFFFFF"/>
              </w:rPr>
              <w:t xml:space="preserve">- Trên cơ sở đề nghị của NHCSXH </w:t>
            </w:r>
            <w:r>
              <w:rPr>
                <w:color w:val="000000"/>
                <w:sz w:val="28"/>
                <w:szCs w:val="28"/>
                <w:shd w:val="clear" w:color="auto" w:fill="FFFFFF"/>
              </w:rPr>
              <w:t>huyện</w:t>
            </w:r>
            <w:r w:rsidRPr="00DB5965">
              <w:rPr>
                <w:color w:val="000000"/>
                <w:sz w:val="28"/>
                <w:szCs w:val="28"/>
                <w:shd w:val="clear" w:color="auto" w:fill="FFFFFF"/>
              </w:rPr>
              <w:t xml:space="preserve"> hỗ trợ rà soát, xử lý nợ đối với khách hàng từ địa phương khác chuyể</w:t>
            </w:r>
            <w:r>
              <w:rPr>
                <w:color w:val="000000"/>
                <w:sz w:val="28"/>
                <w:szCs w:val="28"/>
                <w:shd w:val="clear" w:color="auto" w:fill="FFFFFF"/>
              </w:rPr>
              <w:t>n</w:t>
            </w:r>
            <w:r w:rsidRPr="00DB5965">
              <w:rPr>
                <w:color w:val="000000"/>
                <w:sz w:val="28"/>
                <w:szCs w:val="28"/>
                <w:shd w:val="clear" w:color="auto" w:fill="FFFFFF"/>
              </w:rPr>
              <w:t xml:space="preserve"> đến, thành lập Tổ hỗ trợ rà soát, xử lý nợ gồm các thành phần: Chủ tịch UBND cấp xã là Tổ trưởng; các thành viên gồm đại diện Công an xã, cán bộ Tư pháp, cán bộ Địa chính xã, cán bộ giảm nghèo (hoặc cán bộ văn hóa xã, Văn phòng UBND xã,...), cán bộ tín dụng NHCSXH theo dõi địa bàn và Trưởng thôn/tổ dân phố, tổ trưởng Tổ Tiết kiệm và vay vốn, công an viên thôn ở các thôn có khách hàng cần rà soát, xử lý; thực hiện các giải pháp đôn đốc, thu hồi nợ đạt hiệu</w:t>
            </w:r>
            <w:r>
              <w:rPr>
                <w:color w:val="000000"/>
                <w:sz w:val="28"/>
                <w:szCs w:val="28"/>
                <w:shd w:val="clear" w:color="auto" w:fill="FFFFFF"/>
              </w:rPr>
              <w:t xml:space="preserve"> quả.</w:t>
            </w:r>
          </w:p>
          <w:p w:rsidR="00BC301F" w:rsidRPr="00CB5573" w:rsidRDefault="00BC301F" w:rsidP="00BC301F">
            <w:pPr>
              <w:pStyle w:val="NormalWeb"/>
              <w:shd w:val="clear" w:color="auto" w:fill="FFFFFF"/>
              <w:spacing w:before="120" w:beforeAutospacing="0" w:after="0" w:afterAutospacing="0" w:line="340" w:lineRule="exact"/>
              <w:ind w:firstLine="720"/>
              <w:jc w:val="both"/>
              <w:rPr>
                <w:sz w:val="28"/>
                <w:szCs w:val="28"/>
              </w:rPr>
            </w:pPr>
            <w:r w:rsidRPr="00CB5573">
              <w:rPr>
                <w:spacing w:val="-2"/>
                <w:sz w:val="28"/>
                <w:szCs w:val="28"/>
              </w:rPr>
              <w:t>Nhận được Công văn, đề nghị các đơn vị triển khai thực hiện. Những nội dung không nêu tại Công văn này, các đơn vị thực hiện theo hướng dẫn của NHCSXH tại Hướng dẫn số 7399/HD-NHCS.</w:t>
            </w:r>
            <w:r w:rsidRPr="00CB5573">
              <w:rPr>
                <w:sz w:val="28"/>
                <w:szCs w:val="28"/>
              </w:rPr>
              <w:t xml:space="preserve"> Quá trình thực hiện, nếu có vướng mắc báo cáo về Ban đại diện (qua NHCSXH huyện tổng hợp, trình Trưởng Ban) xem xét, giải quyết</w:t>
            </w:r>
            <w:proofErr w:type="gramStart"/>
            <w:r w:rsidRPr="00CB5573">
              <w:rPr>
                <w:sz w:val="28"/>
                <w:szCs w:val="28"/>
              </w:rPr>
              <w:t>./</w:t>
            </w:r>
            <w:proofErr w:type="gramEnd"/>
            <w:r w:rsidRPr="00CB5573">
              <w:rPr>
                <w:sz w:val="28"/>
                <w:szCs w:val="28"/>
              </w:rPr>
              <w:t xml:space="preserve">. </w:t>
            </w:r>
          </w:p>
          <w:p w:rsidR="00D03F78" w:rsidRPr="00D03F78" w:rsidRDefault="00D03F78" w:rsidP="002F57C2">
            <w:pPr>
              <w:spacing w:before="40" w:after="60" w:line="360" w:lineRule="exact"/>
              <w:jc w:val="both"/>
              <w:rPr>
                <w:rFonts w:ascii="Arial" w:eastAsia="Times New Roman" w:hAnsi="Arial" w:cs="Arial"/>
                <w:sz w:val="18"/>
                <w:szCs w:val="18"/>
              </w:rPr>
            </w:pPr>
          </w:p>
        </w:tc>
      </w:tr>
      <w:tr w:rsidR="00D03F78" w:rsidRPr="00D03F78" w:rsidTr="00D03F78">
        <w:trPr>
          <w:tblCellSpacing w:w="0" w:type="dxa"/>
        </w:trPr>
        <w:tc>
          <w:tcPr>
            <w:tcW w:w="9214" w:type="dxa"/>
            <w:tcBorders>
              <w:top w:val="nil"/>
              <w:left w:val="nil"/>
              <w:bottom w:val="nil"/>
              <w:right w:val="nil"/>
            </w:tcBorders>
            <w:shd w:val="clear" w:color="auto" w:fill="FFFFFF"/>
            <w:vAlign w:val="center"/>
          </w:tcPr>
          <w:p w:rsidR="00D03F78" w:rsidRPr="00D03F78" w:rsidRDefault="00D03F78" w:rsidP="00D03F78">
            <w:pPr>
              <w:spacing w:after="0" w:line="240" w:lineRule="auto"/>
              <w:jc w:val="both"/>
              <w:rPr>
                <w:rFonts w:eastAsia="Times New Roman" w:cs="Times New Roman"/>
                <w:b/>
                <w:bCs/>
                <w:color w:val="4A4A4A"/>
                <w:sz w:val="24"/>
                <w:szCs w:val="24"/>
              </w:rPr>
            </w:pPr>
          </w:p>
        </w:tc>
      </w:tr>
    </w:tbl>
    <w:p w:rsidR="00BA0A86" w:rsidRDefault="00BA0A86"/>
    <w:sectPr w:rsidR="00BA0A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6517AE"/>
    <w:multiLevelType w:val="hybridMultilevel"/>
    <w:tmpl w:val="AF2A589A"/>
    <w:lvl w:ilvl="0" w:tplc="3774A8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F78"/>
    <w:rsid w:val="00152EE3"/>
    <w:rsid w:val="00272C6D"/>
    <w:rsid w:val="002F228E"/>
    <w:rsid w:val="002F57C2"/>
    <w:rsid w:val="00644AB0"/>
    <w:rsid w:val="00B25730"/>
    <w:rsid w:val="00BA0A86"/>
    <w:rsid w:val="00BC301F"/>
    <w:rsid w:val="00BD7816"/>
    <w:rsid w:val="00D03F78"/>
    <w:rsid w:val="00FE4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blcontent">
    <w:name w:val="lblcontent"/>
    <w:basedOn w:val="DefaultParagraphFont"/>
    <w:rsid w:val="00D03F78"/>
  </w:style>
  <w:style w:type="character" w:customStyle="1" w:styleId="lblname">
    <w:name w:val="lblname"/>
    <w:basedOn w:val="DefaultParagraphFont"/>
    <w:rsid w:val="00D03F78"/>
  </w:style>
  <w:style w:type="paragraph" w:styleId="NormalWeb">
    <w:name w:val="Normal (Web)"/>
    <w:basedOn w:val="Normal"/>
    <w:uiPriority w:val="99"/>
    <w:unhideWhenUsed/>
    <w:rsid w:val="00BC301F"/>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blcontent">
    <w:name w:val="lblcontent"/>
    <w:basedOn w:val="DefaultParagraphFont"/>
    <w:rsid w:val="00D03F78"/>
  </w:style>
  <w:style w:type="character" w:customStyle="1" w:styleId="lblname">
    <w:name w:val="lblname"/>
    <w:basedOn w:val="DefaultParagraphFont"/>
    <w:rsid w:val="00D03F78"/>
  </w:style>
  <w:style w:type="paragraph" w:styleId="NormalWeb">
    <w:name w:val="Normal (Web)"/>
    <w:basedOn w:val="Normal"/>
    <w:uiPriority w:val="99"/>
    <w:unhideWhenUsed/>
    <w:rsid w:val="00BC301F"/>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19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3E1CA56F73A9447AAE5160DDA5A23D1" ma:contentTypeVersion="1" ma:contentTypeDescription="Upload an image." ma:contentTypeScope="" ma:versionID="e7b871b260dc19e2e6ecef9245e83366">
  <xsd:schema xmlns:xsd="http://www.w3.org/2001/XMLSchema" xmlns:xs="http://www.w3.org/2001/XMLSchema" xmlns:p="http://schemas.microsoft.com/office/2006/metadata/properties" xmlns:ns1="http://schemas.microsoft.com/sharepoint/v3" xmlns:ns2="1DA1D94B-5AF7-447F-A046-299AE259A741" xmlns:ns3="http://schemas.microsoft.com/sharepoint/v3/fields" targetNamespace="http://schemas.microsoft.com/office/2006/metadata/properties" ma:root="true" ma:fieldsID="9fa456499f6c6cb953ed7fc9de96215b" ns1:_="" ns2:_="" ns3:_="">
    <xsd:import namespace="http://schemas.microsoft.com/sharepoint/v3"/>
    <xsd:import namespace="1DA1D94B-5AF7-447F-A046-299AE259A741"/>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A1D94B-5AF7-447F-A046-299AE259A741"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1DA1D94B-5AF7-447F-A046-299AE259A741"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97436E43-A15B-4315-BDB0-F54705F55B38}"/>
</file>

<file path=customXml/itemProps2.xml><?xml version="1.0" encoding="utf-8"?>
<ds:datastoreItem xmlns:ds="http://schemas.openxmlformats.org/officeDocument/2006/customXml" ds:itemID="{0FC9F56F-7EE2-4D45-8AC6-3F60A61CAA2E}"/>
</file>

<file path=customXml/itemProps3.xml><?xml version="1.0" encoding="utf-8"?>
<ds:datastoreItem xmlns:ds="http://schemas.openxmlformats.org/officeDocument/2006/customXml" ds:itemID="{D266134B-247A-4211-99FE-5A6472AEA559}"/>
</file>

<file path=docProps/app.xml><?xml version="1.0" encoding="utf-8"?>
<Properties xmlns="http://schemas.openxmlformats.org/officeDocument/2006/extended-properties" xmlns:vt="http://schemas.openxmlformats.org/officeDocument/2006/docPropsVTypes">
  <Template>Normal</Template>
  <TotalTime>56</TotalTime>
  <Pages>4</Pages>
  <Words>1256</Words>
  <Characters>7163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dc:creator>
  <cp:keywords/>
  <dc:description/>
  <cp:lastModifiedBy>Hue</cp:lastModifiedBy>
  <cp:revision>17</cp:revision>
  <dcterms:created xsi:type="dcterms:W3CDTF">2023-11-06T01:35:00Z</dcterms:created>
  <dcterms:modified xsi:type="dcterms:W3CDTF">2023-11-09T01:53:00Z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0x0101009148F5A04DDD49CBA7127AADA5FB792B00AADE34325A8B49CDA8BB4DB53328F21400A3E1CA56F73A9447AAE5160DDA5A23D1</vt:lpwstr>
  </property>
</Properties>
</file>